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ED7" w:rsidRPr="00E031FB" w:rsidRDefault="00330ED7" w:rsidP="006156CA">
      <w:pPr>
        <w:outlineLv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X</w:t>
      </w:r>
      <w:r w:rsidRPr="00C816FD">
        <w:rPr>
          <w:rFonts w:ascii="Garamond" w:hAnsi="Garamond"/>
          <w:b/>
          <w:sz w:val="28"/>
          <w:szCs w:val="28"/>
        </w:rPr>
        <w:t>.25</w:t>
      </w:r>
      <w:r>
        <w:rPr>
          <w:rFonts w:ascii="Garamond" w:hAnsi="Garamond"/>
          <w:b/>
          <w:sz w:val="28"/>
          <w:szCs w:val="28"/>
        </w:rPr>
        <w:t>.</w:t>
      </w:r>
      <w:r w:rsidRPr="00C816FD">
        <w:rPr>
          <w:rFonts w:ascii="Garamond" w:hAnsi="Garamond"/>
          <w:b/>
          <w:sz w:val="28"/>
          <w:szCs w:val="28"/>
        </w:rPr>
        <w:t xml:space="preserve"> </w:t>
      </w:r>
      <w:r w:rsidRPr="00E031FB">
        <w:rPr>
          <w:rFonts w:ascii="Garamond" w:hAnsi="Garamond"/>
          <w:b/>
          <w:sz w:val="28"/>
          <w:szCs w:val="28"/>
        </w:rPr>
        <w:t>Изме</w:t>
      </w:r>
      <w:r>
        <w:rPr>
          <w:rFonts w:ascii="Garamond" w:hAnsi="Garamond"/>
          <w:b/>
          <w:sz w:val="28"/>
          <w:szCs w:val="28"/>
        </w:rPr>
        <w:t>нения, связанные с уточнением определения предельного объема мощности при расчете величины удельных капитальных затрат</w:t>
      </w:r>
    </w:p>
    <w:p w:rsidR="00330ED7" w:rsidRPr="00E031FB" w:rsidRDefault="00330ED7" w:rsidP="006156CA">
      <w:pPr>
        <w:ind w:left="12036" w:hanging="270"/>
        <w:outlineLvl w:val="0"/>
        <w:rPr>
          <w:rFonts w:ascii="Garamond" w:hAnsi="Garamond"/>
          <w:b/>
          <w:sz w:val="28"/>
          <w:szCs w:val="28"/>
        </w:rPr>
      </w:pPr>
    </w:p>
    <w:p w:rsidR="00330ED7" w:rsidRDefault="00330ED7" w:rsidP="00ED1B01">
      <w:pPr>
        <w:jc w:val="right"/>
        <w:outlineLvl w:val="0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Приложение № 10.25</w:t>
      </w:r>
    </w:p>
    <w:p w:rsidR="00330ED7" w:rsidRPr="00E031FB" w:rsidRDefault="00330ED7" w:rsidP="006313DA">
      <w:pPr>
        <w:outlineLvl w:val="0"/>
        <w:rPr>
          <w:rFonts w:ascii="Garamond" w:hAnsi="Garamond"/>
          <w:sz w:val="28"/>
          <w:szCs w:val="28"/>
        </w:rPr>
      </w:pPr>
    </w:p>
    <w:p w:rsidR="00330ED7" w:rsidRPr="00357292" w:rsidRDefault="00330ED7" w:rsidP="0043511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r w:rsidRPr="00357292">
        <w:rPr>
          <w:rFonts w:ascii="Garamond" w:hAnsi="Garamond"/>
          <w:b/>
        </w:rPr>
        <w:t xml:space="preserve">Инициатор: </w:t>
      </w:r>
      <w:r w:rsidRPr="00357292">
        <w:rPr>
          <w:rFonts w:ascii="Garamond" w:hAnsi="Garamond"/>
          <w:color w:val="000000"/>
        </w:rPr>
        <w:t>НП «Совет рынка</w:t>
      </w:r>
      <w:r w:rsidRPr="00357292">
        <w:rPr>
          <w:rFonts w:ascii="Garamond" w:hAnsi="Garamond"/>
        </w:rPr>
        <w:t>».</w:t>
      </w:r>
    </w:p>
    <w:p w:rsidR="00330ED7" w:rsidRPr="00357292" w:rsidRDefault="00330ED7" w:rsidP="0043511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r w:rsidRPr="00357292">
        <w:rPr>
          <w:rFonts w:ascii="Garamond" w:hAnsi="Garamond"/>
          <w:b/>
        </w:rPr>
        <w:t>Обоснование:</w:t>
      </w:r>
      <w:r w:rsidRPr="00357292">
        <w:rPr>
          <w:rFonts w:ascii="Garamond" w:hAnsi="Garamond"/>
        </w:rPr>
        <w:t xml:space="preserve"> </w:t>
      </w:r>
      <w:r>
        <w:rPr>
          <w:rFonts w:ascii="Garamond" w:hAnsi="Garamond"/>
        </w:rPr>
        <w:t>п</w:t>
      </w:r>
      <w:r w:rsidRPr="00357292">
        <w:rPr>
          <w:rFonts w:ascii="Garamond" w:hAnsi="Garamond"/>
        </w:rPr>
        <w:t>ри расчете величины удельных капитальных затрат для объектов, фактическая дата начала исполнения обязательств по поставке мощности которых наступила (наступает) до</w:t>
      </w:r>
      <w:r>
        <w:rPr>
          <w:rFonts w:ascii="Garamond" w:hAnsi="Garamond"/>
        </w:rPr>
        <w:t xml:space="preserve"> 1 апреля 2011 года</w:t>
      </w:r>
      <w:r w:rsidRPr="00357292">
        <w:rPr>
          <w:rFonts w:ascii="Garamond" w:hAnsi="Garamond"/>
        </w:rPr>
        <w:t>, предельный объем мощности принимается равным предельному объему мощности, определенному на апрель 2011 года. В случае снижения указанного объема в течение периода январь – апрель, удельная величина капитальных затрат завышается. Для таких генерирующих объектов предлагается принимать предельный объем мощности  равным предельному объему мощности, определенному на январь 2011 года.</w:t>
      </w:r>
    </w:p>
    <w:p w:rsidR="00330ED7" w:rsidRPr="00357292" w:rsidRDefault="00330ED7" w:rsidP="00435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aramond" w:hAnsi="Garamond"/>
        </w:rPr>
      </w:pPr>
      <w:r w:rsidRPr="00357292">
        <w:rPr>
          <w:rFonts w:ascii="Garamond" w:hAnsi="Garamond"/>
          <w:b/>
        </w:rPr>
        <w:t xml:space="preserve">Дата вступления в силу: </w:t>
      </w:r>
      <w:r w:rsidRPr="00F61F61">
        <w:rPr>
          <w:rFonts w:ascii="Garamond" w:hAnsi="Garamond"/>
        </w:rPr>
        <w:t>с 8</w:t>
      </w:r>
      <w:r w:rsidRPr="00193A7D">
        <w:rPr>
          <w:rFonts w:ascii="Garamond" w:hAnsi="Garamond"/>
        </w:rPr>
        <w:t xml:space="preserve"> апреля 2011 года и распространяют свое действие на отношения Сторон по Договору о присоединении к торговой системе оптового рынка,</w:t>
      </w:r>
      <w:r>
        <w:rPr>
          <w:rFonts w:ascii="Garamond" w:hAnsi="Garamond"/>
        </w:rPr>
        <w:t xml:space="preserve"> возникшие с 1 января 2011 года.</w:t>
      </w:r>
    </w:p>
    <w:p w:rsidR="00330ED7" w:rsidRPr="00E031FB" w:rsidRDefault="00330ED7" w:rsidP="00435111">
      <w:pPr>
        <w:tabs>
          <w:tab w:val="left" w:pos="0"/>
        </w:tabs>
        <w:jc w:val="both"/>
        <w:rPr>
          <w:rFonts w:ascii="Garamond" w:hAnsi="Garamond"/>
          <w:szCs w:val="20"/>
        </w:rPr>
      </w:pPr>
    </w:p>
    <w:p w:rsidR="00330ED7" w:rsidRPr="00807E5C" w:rsidRDefault="00330ED7" w:rsidP="00435111">
      <w:pPr>
        <w:keepNext/>
        <w:rPr>
          <w:rFonts w:ascii="Garamond" w:hAnsi="Garamond"/>
          <w:b/>
          <w:sz w:val="26"/>
          <w:szCs w:val="26"/>
        </w:rPr>
      </w:pPr>
      <w:r w:rsidRPr="00807E5C">
        <w:rPr>
          <w:rFonts w:ascii="Garamond" w:hAnsi="Garamond"/>
          <w:b/>
          <w:sz w:val="26"/>
          <w:szCs w:val="26"/>
        </w:rPr>
        <w:t>Предложения по изменениям и дополнениям в Р</w:t>
      </w:r>
      <w:bookmarkStart w:id="0" w:name="_Ref50985468"/>
      <w:bookmarkEnd w:id="0"/>
      <w:r w:rsidRPr="00807E5C">
        <w:rPr>
          <w:rFonts w:ascii="Garamond" w:hAnsi="Garamond"/>
          <w:b/>
          <w:sz w:val="26"/>
          <w:szCs w:val="26"/>
        </w:rPr>
        <w:t xml:space="preserve">ЕГЛАМЕНТ ОПРЕДЕЛЕНИЯ ПАРАМЕТРОВ, НЕОБХОДИМЫХ ДЛЯ РАСЧЕТА ЦЕНЫ ПО ДОГОВОРАМ О ПРЕДОСТАВЛЕНИИ МОЩНОСТИ </w:t>
      </w:r>
      <w:r>
        <w:rPr>
          <w:rFonts w:ascii="Garamond" w:hAnsi="Garamond"/>
          <w:b/>
          <w:sz w:val="26"/>
          <w:szCs w:val="26"/>
        </w:rPr>
        <w:t>(Приложение № 19.6 к Договору о </w:t>
      </w:r>
      <w:r w:rsidRPr="00807E5C">
        <w:rPr>
          <w:rFonts w:ascii="Garamond" w:hAnsi="Garamond"/>
          <w:b/>
          <w:sz w:val="26"/>
          <w:szCs w:val="26"/>
        </w:rPr>
        <w:t>присоединении к торговой системе оптового рынка)</w:t>
      </w:r>
    </w:p>
    <w:p w:rsidR="00330ED7" w:rsidRPr="00E031FB" w:rsidRDefault="00330ED7" w:rsidP="00435111">
      <w:pPr>
        <w:rPr>
          <w:rFonts w:ascii="Garamond" w:hAnsi="Garamond"/>
        </w:rPr>
      </w:pPr>
    </w:p>
    <w:tbl>
      <w:tblPr>
        <w:tblW w:w="15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8"/>
        <w:gridCol w:w="6720"/>
        <w:gridCol w:w="7320"/>
      </w:tblGrid>
      <w:tr w:rsidR="00330ED7" w:rsidRPr="00A86DEC" w:rsidTr="00ED1B01">
        <w:trPr>
          <w:trHeight w:val="400"/>
        </w:trPr>
        <w:tc>
          <w:tcPr>
            <w:tcW w:w="1068" w:type="dxa"/>
          </w:tcPr>
          <w:p w:rsidR="00330ED7" w:rsidRPr="00A86DEC" w:rsidRDefault="00330ED7" w:rsidP="00435111">
            <w:pPr>
              <w:widowControl w:val="0"/>
              <w:ind w:left="-142"/>
              <w:jc w:val="center"/>
              <w:rPr>
                <w:rFonts w:ascii="Garamond" w:hAnsi="Garamond"/>
                <w:b/>
              </w:rPr>
            </w:pPr>
            <w:r w:rsidRPr="00A86DEC">
              <w:rPr>
                <w:rFonts w:ascii="Garamond" w:hAnsi="Garamond" w:cs="Arial"/>
                <w:b/>
                <w:sz w:val="22"/>
                <w:szCs w:val="22"/>
              </w:rPr>
              <w:t>№ пункта</w:t>
            </w:r>
          </w:p>
        </w:tc>
        <w:tc>
          <w:tcPr>
            <w:tcW w:w="6720" w:type="dxa"/>
          </w:tcPr>
          <w:p w:rsidR="00330ED7" w:rsidRPr="00A86DEC" w:rsidRDefault="00330ED7" w:rsidP="00435111">
            <w:pPr>
              <w:jc w:val="center"/>
              <w:rPr>
                <w:rFonts w:ascii="Garamond" w:hAnsi="Garamond"/>
                <w:b/>
              </w:rPr>
            </w:pPr>
            <w:r w:rsidRPr="00A86DEC">
              <w:rPr>
                <w:rFonts w:ascii="Garamond" w:hAnsi="Garamond"/>
                <w:b/>
                <w:sz w:val="22"/>
                <w:szCs w:val="22"/>
              </w:rPr>
              <w:t xml:space="preserve">Редакция, действующая на момент </w:t>
            </w:r>
          </w:p>
          <w:p w:rsidR="00330ED7" w:rsidRPr="00A86DEC" w:rsidRDefault="00330ED7" w:rsidP="00435111">
            <w:pPr>
              <w:jc w:val="center"/>
              <w:rPr>
                <w:rFonts w:ascii="Garamond" w:hAnsi="Garamond"/>
                <w:color w:val="000000"/>
              </w:rPr>
            </w:pPr>
            <w:r w:rsidRPr="00A86DEC">
              <w:rPr>
                <w:rFonts w:ascii="Garamond" w:hAnsi="Garamond"/>
                <w:b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320" w:type="dxa"/>
          </w:tcPr>
          <w:p w:rsidR="00330ED7" w:rsidRPr="00A86DEC" w:rsidRDefault="00330ED7" w:rsidP="00435111">
            <w:pPr>
              <w:jc w:val="center"/>
              <w:rPr>
                <w:rFonts w:ascii="Garamond" w:hAnsi="Garamond"/>
                <w:b/>
              </w:rPr>
            </w:pPr>
            <w:r w:rsidRPr="00A86DEC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330ED7" w:rsidRPr="00A86DEC" w:rsidRDefault="00330ED7" w:rsidP="00435111">
            <w:pPr>
              <w:jc w:val="center"/>
              <w:rPr>
                <w:rFonts w:ascii="Garamond" w:hAnsi="Garamond"/>
                <w:color w:val="000000"/>
              </w:rPr>
            </w:pPr>
            <w:r w:rsidRPr="00A86DEC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330ED7" w:rsidRPr="00A86DEC" w:rsidTr="00ED1B01">
        <w:trPr>
          <w:trHeight w:val="400"/>
        </w:trPr>
        <w:tc>
          <w:tcPr>
            <w:tcW w:w="1068" w:type="dxa"/>
          </w:tcPr>
          <w:p w:rsidR="00330ED7" w:rsidRPr="00A86DEC" w:rsidRDefault="00330ED7" w:rsidP="00171593">
            <w:pPr>
              <w:tabs>
                <w:tab w:val="left" w:pos="780"/>
              </w:tabs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4</w:t>
            </w:r>
            <w:r w:rsidRPr="00A86DEC">
              <w:rPr>
                <w:rFonts w:ascii="Garamond" w:hAnsi="Garamond"/>
                <w:b/>
                <w:sz w:val="22"/>
                <w:szCs w:val="22"/>
              </w:rPr>
              <w:t>.</w:t>
            </w:r>
            <w:r>
              <w:rPr>
                <w:rFonts w:ascii="Garamond" w:hAnsi="Garamond"/>
                <w:b/>
                <w:sz w:val="22"/>
                <w:szCs w:val="22"/>
              </w:rPr>
              <w:t>1</w:t>
            </w:r>
          </w:p>
        </w:tc>
        <w:tc>
          <w:tcPr>
            <w:tcW w:w="6720" w:type="dxa"/>
          </w:tcPr>
          <w:p w:rsidR="00330ED7" w:rsidRDefault="00330ED7" w:rsidP="00E6462D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lang w:eastAsia="en-US"/>
              </w:rPr>
            </w:pPr>
            <w:r w:rsidRPr="00E6462D">
              <w:rPr>
                <w:rFonts w:ascii="Garamond" w:hAnsi="Garamond"/>
                <w:b/>
                <w:sz w:val="22"/>
                <w:szCs w:val="22"/>
                <w:lang w:eastAsia="en-US"/>
              </w:rPr>
              <w:t>Для объектов, отнесенных Наблюдательным советом НП «Совет рынка» к модернизируемым объектам генерации</w:t>
            </w:r>
          </w:p>
          <w:p w:rsidR="00330ED7" w:rsidRPr="00E6462D" w:rsidRDefault="00330ED7" w:rsidP="00E6462D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t>…</w:t>
            </w:r>
          </w:p>
          <w:p w:rsidR="00330ED7" w:rsidRPr="00E6462D" w:rsidRDefault="00330ED7" w:rsidP="00E6462D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t>Для определения расчета цены по ДПМ СР рассчитывает удельную величину капитальных затрат следующим образом:</w:t>
            </w:r>
          </w:p>
          <w:p w:rsidR="00330ED7" w:rsidRPr="00E6462D" w:rsidRDefault="00330ED7" w:rsidP="00ED1B01">
            <w:pPr>
              <w:widowControl w:val="0"/>
              <w:spacing w:before="120" w:after="120"/>
              <w:ind w:firstLine="12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object w:dxaOrig="710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1.5pt;height:33pt" o:ole="">
                  <v:imagedata r:id="rId7" o:title=""/>
                </v:shape>
                <o:OLEObject Type="Embed" ProgID="Equation.3" ShapeID="_x0000_i1025" DrawAspect="Content" ObjectID="_1363697820" r:id="rId8"/>
              </w:object>
            </w:r>
            <w:r w:rsidRPr="00E6462D">
              <w:rPr>
                <w:rFonts w:ascii="Garamond" w:hAnsi="Garamond"/>
                <w:sz w:val="22"/>
                <w:szCs w:val="22"/>
              </w:rPr>
              <w:t>,</w:t>
            </w:r>
          </w:p>
          <w:p w:rsidR="00330ED7" w:rsidRPr="00E6462D" w:rsidRDefault="00330ED7" w:rsidP="00E6462D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E6462D">
              <w:rPr>
                <w:rFonts w:ascii="Garamond" w:hAnsi="Garamond"/>
                <w:sz w:val="22"/>
                <w:szCs w:val="22"/>
              </w:rPr>
              <w:object w:dxaOrig="840" w:dyaOrig="380">
                <v:shape id="_x0000_i1026" type="#_x0000_t75" style="width:41.25pt;height:18.75pt" o:ole="">
                  <v:imagedata r:id="rId9" o:title=""/>
                </v:shape>
                <o:OLEObject Type="Embed" ProgID="Equation.3" ShapeID="_x0000_i1026" DrawAspect="Content" ObjectID="_1363697821" r:id="rId10"/>
              </w:object>
            </w:r>
            <w:r w:rsidRPr="00E6462D">
              <w:rPr>
                <w:rFonts w:ascii="Garamond" w:hAnsi="Garamond"/>
                <w:sz w:val="22"/>
                <w:szCs w:val="22"/>
              </w:rPr>
              <w:t xml:space="preserve"> – величина капитальных затрат для модернизируемого объекта g, полученная СР от участника в соответствии с приложением 1;</w:t>
            </w:r>
          </w:p>
          <w:p w:rsidR="00330ED7" w:rsidRPr="00E6462D" w:rsidRDefault="00330ED7" w:rsidP="00E6462D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object w:dxaOrig="940" w:dyaOrig="400">
                <v:shape id="_x0000_i1027" type="#_x0000_t75" style="width:45pt;height:20.25pt" o:ole="">
                  <v:imagedata r:id="rId11" o:title=""/>
                </v:shape>
                <o:OLEObject Type="Embed" ProgID="Equation.3" ShapeID="_x0000_i1027" DrawAspect="Content" ObjectID="_1363697822" r:id="rId12"/>
              </w:object>
            </w:r>
            <w:r w:rsidRPr="00E6462D">
              <w:rPr>
                <w:rFonts w:ascii="Garamond" w:hAnsi="Garamond"/>
                <w:sz w:val="22"/>
                <w:szCs w:val="22"/>
              </w:rPr>
              <w:t xml:space="preserve"> – величина установленной мощности, указанная в приложении 1 к Договору о предоставлении мощности (Приложение № Д 16, Приложение № Д 16.1 к Договору о присоединении к торговой системе оптового рынка);</w:t>
            </w:r>
          </w:p>
          <w:p w:rsidR="00330ED7" w:rsidRDefault="00330ED7" w:rsidP="00E6462D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object w:dxaOrig="940" w:dyaOrig="400">
                <v:shape id="_x0000_i1028" type="#_x0000_t75" style="width:45pt;height:20.25pt" o:ole="">
                  <v:imagedata r:id="rId13" o:title=""/>
                </v:shape>
                <o:OLEObject Type="Embed" ProgID="Equation.3" ShapeID="_x0000_i1028" DrawAspect="Content" ObjectID="_1363697823" r:id="rId14"/>
              </w:object>
            </w:r>
            <w:r w:rsidRPr="00E6462D">
              <w:rPr>
                <w:rFonts w:ascii="Garamond" w:hAnsi="Garamond"/>
                <w:sz w:val="22"/>
                <w:szCs w:val="22"/>
              </w:rPr>
              <w:t xml:space="preserve"> ― предельный объем мощности в месяце m, определяемый в соответствии с </w:t>
            </w:r>
            <w:r w:rsidRPr="00ED1B01">
              <w:rPr>
                <w:rFonts w:ascii="Garamond" w:hAnsi="Garamond"/>
                <w:i/>
                <w:sz w:val="22"/>
                <w:szCs w:val="22"/>
              </w:rPr>
              <w:t>Регламентом аттестации генерирующего оборудования</w:t>
            </w:r>
            <w:r w:rsidRPr="00E6462D">
              <w:rPr>
                <w:rFonts w:ascii="Garamond" w:hAnsi="Garamond"/>
                <w:sz w:val="22"/>
                <w:szCs w:val="22"/>
              </w:rPr>
              <w:t xml:space="preserve"> (Приложение № 19.2 к </w:t>
            </w:r>
            <w:r w:rsidRPr="00ED1B01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E6462D">
              <w:rPr>
                <w:rFonts w:ascii="Garamond" w:hAnsi="Garamond"/>
                <w:sz w:val="22"/>
                <w:szCs w:val="22"/>
              </w:rPr>
              <w:t>). В отношении периода январь – июнь 2011 года для генерирующих объектов, фактическая дата начала исполнения обязательств по поставке мощности которых наступила (наступает) до 1 апреля 2011 года включительно, указанный объем принимается равным предельному объему мощности, определенному на апрель 2011 года. В отношении периода январь – июнь 2011 года для генерирующих объектов, фактическая дата начала исполнения обязательств по поставке мощности которых наступила (наступает) после 1 апреля 2011 года, указанный объем принимается равным предельному объему мощности, определенному  на первый месяц исполнения обязательств по поставке мощности.</w:t>
            </w:r>
          </w:p>
          <w:p w:rsidR="00330ED7" w:rsidRPr="00ED1B01" w:rsidRDefault="00330ED7" w:rsidP="00ED1B01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7320" w:type="dxa"/>
          </w:tcPr>
          <w:p w:rsidR="00330ED7" w:rsidRDefault="00330ED7" w:rsidP="00A06EB5">
            <w:pPr>
              <w:widowControl w:val="0"/>
              <w:spacing w:before="120" w:after="120"/>
              <w:jc w:val="both"/>
              <w:rPr>
                <w:rFonts w:ascii="Garamond" w:hAnsi="Garamond"/>
                <w:b/>
                <w:lang w:eastAsia="en-US"/>
              </w:rPr>
            </w:pPr>
            <w:r w:rsidRPr="00E6462D">
              <w:rPr>
                <w:rFonts w:ascii="Garamond" w:hAnsi="Garamond"/>
                <w:b/>
                <w:sz w:val="22"/>
                <w:szCs w:val="22"/>
                <w:lang w:eastAsia="en-US"/>
              </w:rPr>
              <w:t>Для объектов, отнесенных Наблюдательным советом НП «Совет рынка» к модернизируемым объектам генерации</w:t>
            </w:r>
          </w:p>
          <w:p w:rsidR="00330ED7" w:rsidRPr="00E6462D" w:rsidRDefault="00330ED7" w:rsidP="00A06EB5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t>…</w:t>
            </w:r>
          </w:p>
          <w:p w:rsidR="00330ED7" w:rsidRPr="00E6462D" w:rsidRDefault="00330ED7" w:rsidP="00A06EB5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t>Для определения расчета цены по ДПМ СР рассчитывает удельную величину капитальных затрат следующим образом:</w:t>
            </w:r>
          </w:p>
          <w:p w:rsidR="00330ED7" w:rsidRPr="00E6462D" w:rsidRDefault="00330ED7" w:rsidP="00ED1B01">
            <w:pPr>
              <w:widowControl w:val="0"/>
              <w:spacing w:before="120" w:after="120"/>
              <w:ind w:hanging="6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object w:dxaOrig="7100" w:dyaOrig="760">
                <v:shape id="_x0000_i1029" type="#_x0000_t75" style="width:337.5pt;height:36.75pt" o:ole="">
                  <v:imagedata r:id="rId7" o:title=""/>
                </v:shape>
                <o:OLEObject Type="Embed" ProgID="Equation.3" ShapeID="_x0000_i1029" DrawAspect="Content" ObjectID="_1363697824" r:id="rId15"/>
              </w:object>
            </w:r>
            <w:r w:rsidRPr="00E6462D">
              <w:rPr>
                <w:rFonts w:ascii="Garamond" w:hAnsi="Garamond"/>
                <w:sz w:val="22"/>
                <w:szCs w:val="22"/>
              </w:rPr>
              <w:t>,</w:t>
            </w:r>
          </w:p>
          <w:p w:rsidR="00330ED7" w:rsidRPr="00E6462D" w:rsidRDefault="00330ED7" w:rsidP="00A06EB5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t xml:space="preserve">где </w:t>
            </w:r>
            <w:r w:rsidRPr="00E6462D">
              <w:rPr>
                <w:rFonts w:ascii="Garamond" w:hAnsi="Garamond"/>
                <w:sz w:val="22"/>
                <w:szCs w:val="22"/>
              </w:rPr>
              <w:object w:dxaOrig="840" w:dyaOrig="380">
                <v:shape id="_x0000_i1030" type="#_x0000_t75" style="width:41.25pt;height:18.75pt" o:ole="">
                  <v:imagedata r:id="rId9" o:title=""/>
                </v:shape>
                <o:OLEObject Type="Embed" ProgID="Equation.3" ShapeID="_x0000_i1030" DrawAspect="Content" ObjectID="_1363697825" r:id="rId16"/>
              </w:object>
            </w:r>
            <w:r w:rsidRPr="00E6462D">
              <w:rPr>
                <w:rFonts w:ascii="Garamond" w:hAnsi="Garamond"/>
                <w:sz w:val="22"/>
                <w:szCs w:val="22"/>
              </w:rPr>
              <w:t xml:space="preserve"> – величина капитальных затрат для модернизируемого объекта g, полученная СР от участника в соответствии с приложением 1;</w:t>
            </w:r>
          </w:p>
          <w:p w:rsidR="00330ED7" w:rsidRPr="00E6462D" w:rsidRDefault="00330ED7" w:rsidP="00A06EB5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object w:dxaOrig="940" w:dyaOrig="400">
                <v:shape id="_x0000_i1031" type="#_x0000_t75" style="width:45pt;height:20.25pt" o:ole="">
                  <v:imagedata r:id="rId11" o:title=""/>
                </v:shape>
                <o:OLEObject Type="Embed" ProgID="Equation.3" ShapeID="_x0000_i1031" DrawAspect="Content" ObjectID="_1363697826" r:id="rId17"/>
              </w:object>
            </w:r>
            <w:r w:rsidRPr="00E6462D">
              <w:rPr>
                <w:rFonts w:ascii="Garamond" w:hAnsi="Garamond"/>
                <w:sz w:val="22"/>
                <w:szCs w:val="22"/>
              </w:rPr>
              <w:t xml:space="preserve"> – величина установленной мощности, указанная в приложении 1 к </w:t>
            </w:r>
            <w:r w:rsidRPr="00ED1B01">
              <w:rPr>
                <w:rFonts w:ascii="Garamond" w:hAnsi="Garamond"/>
                <w:i/>
                <w:sz w:val="22"/>
                <w:szCs w:val="22"/>
              </w:rPr>
              <w:t>Договору о предоставлении мощности</w:t>
            </w:r>
            <w:r w:rsidRPr="00E6462D">
              <w:rPr>
                <w:rFonts w:ascii="Garamond" w:hAnsi="Garamond"/>
                <w:sz w:val="22"/>
                <w:szCs w:val="22"/>
              </w:rPr>
              <w:t xml:space="preserve"> (Приложение № Д 16, Приложение № Д 16.1 к </w:t>
            </w:r>
            <w:r w:rsidRPr="00ED1B01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E6462D">
              <w:rPr>
                <w:rFonts w:ascii="Garamond" w:hAnsi="Garamond"/>
                <w:sz w:val="22"/>
                <w:szCs w:val="22"/>
              </w:rPr>
              <w:t>);</w:t>
            </w:r>
          </w:p>
          <w:p w:rsidR="00330ED7" w:rsidRDefault="00330ED7" w:rsidP="00E6462D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 w:rsidRPr="00E6462D">
              <w:rPr>
                <w:rFonts w:ascii="Garamond" w:hAnsi="Garamond"/>
                <w:sz w:val="22"/>
                <w:szCs w:val="22"/>
              </w:rPr>
              <w:object w:dxaOrig="940" w:dyaOrig="400">
                <v:shape id="_x0000_i1032" type="#_x0000_t75" style="width:45pt;height:20.25pt" o:ole="">
                  <v:imagedata r:id="rId13" o:title=""/>
                </v:shape>
                <o:OLEObject Type="Embed" ProgID="Equation.3" ShapeID="_x0000_i1032" DrawAspect="Content" ObjectID="_1363697827" r:id="rId18"/>
              </w:object>
            </w:r>
            <w:r w:rsidRPr="00E6462D">
              <w:rPr>
                <w:rFonts w:ascii="Garamond" w:hAnsi="Garamond"/>
                <w:sz w:val="22"/>
                <w:szCs w:val="22"/>
              </w:rPr>
              <w:t xml:space="preserve"> ― предельный объем мощности в месяце m, определяемый в соответствии с </w:t>
            </w:r>
            <w:r w:rsidRPr="00ED1B01">
              <w:rPr>
                <w:rFonts w:ascii="Garamond" w:hAnsi="Garamond"/>
                <w:i/>
                <w:sz w:val="22"/>
                <w:szCs w:val="22"/>
              </w:rPr>
              <w:t>Регламентом аттестации генерирующего оборудования</w:t>
            </w:r>
            <w:r w:rsidRPr="00E6462D">
              <w:rPr>
                <w:rFonts w:ascii="Garamond" w:hAnsi="Garamond"/>
                <w:sz w:val="22"/>
                <w:szCs w:val="22"/>
              </w:rPr>
              <w:t xml:space="preserve"> (Приложение № 19.2 к </w:t>
            </w:r>
            <w:r w:rsidRPr="00ED1B01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E6462D">
              <w:rPr>
                <w:rFonts w:ascii="Garamond" w:hAnsi="Garamond"/>
                <w:sz w:val="22"/>
                <w:szCs w:val="22"/>
              </w:rPr>
              <w:t xml:space="preserve">). В отношении периода январь – июнь 2011 года для генерирующих объектов, фактическая дата начала исполнения обязательств по поставке мощности которых наступила (наступает) до 1 апреля 2011 года включительно, указанный объем принимается равным предельному объему мощности, определенному на апрель 2011 года. </w:t>
            </w:r>
            <w:r w:rsidRPr="00E6462D">
              <w:rPr>
                <w:rFonts w:ascii="Garamond" w:hAnsi="Garamond"/>
                <w:sz w:val="22"/>
                <w:szCs w:val="22"/>
                <w:highlight w:val="yellow"/>
              </w:rPr>
              <w:t>Для генерирующих объектов, в отношении которых  предельный объем мощности в течение периода январь – апрель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 xml:space="preserve"> 2011</w:t>
            </w:r>
            <w:r w:rsidRPr="00E6462D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года</w:t>
            </w:r>
            <w:r w:rsidRPr="00E6462D">
              <w:rPr>
                <w:rFonts w:ascii="Garamond" w:hAnsi="Garamond"/>
                <w:sz w:val="22"/>
                <w:szCs w:val="22"/>
                <w:highlight w:val="yellow"/>
              </w:rPr>
              <w:t xml:space="preserve"> снижался, указанный объем принимается равным предельному объему мощности, определенному на январь 2011 г</w:t>
            </w:r>
            <w:r>
              <w:rPr>
                <w:rFonts w:ascii="Garamond" w:hAnsi="Garamond"/>
                <w:sz w:val="22"/>
                <w:szCs w:val="22"/>
                <w:highlight w:val="yellow"/>
              </w:rPr>
              <w:t>ода</w:t>
            </w:r>
            <w:r w:rsidRPr="00E6462D">
              <w:rPr>
                <w:rFonts w:ascii="Garamond" w:hAnsi="Garamond"/>
                <w:sz w:val="22"/>
                <w:szCs w:val="22"/>
                <w:highlight w:val="yellow"/>
              </w:rPr>
              <w:t>.</w:t>
            </w:r>
            <w:r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E6462D">
              <w:rPr>
                <w:rFonts w:ascii="Garamond" w:hAnsi="Garamond"/>
                <w:sz w:val="22"/>
                <w:szCs w:val="22"/>
              </w:rPr>
              <w:t>В отношении периода январь – июнь 2011 года для генерирующих объектов, фактическая дата начала исполнения обязательств по поставке мощности которых наступила (наступает) после 1 апреля 2011 года, указанный объем принимается равным предельному объему мощности, определенному  на первый месяц исполнения обязательств по поставке мощности.</w:t>
            </w:r>
          </w:p>
          <w:p w:rsidR="00330ED7" w:rsidRPr="00ED1B01" w:rsidRDefault="00330ED7" w:rsidP="00ED1B01">
            <w:pPr>
              <w:widowControl w:val="0"/>
              <w:spacing w:before="120" w:after="120"/>
              <w:ind w:firstLine="540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:rsidR="00330ED7" w:rsidRDefault="00330ED7" w:rsidP="00E9441C">
      <w:pPr>
        <w:rPr>
          <w:b/>
          <w:szCs w:val="22"/>
        </w:rPr>
      </w:pPr>
    </w:p>
    <w:sectPr w:rsidR="00330ED7" w:rsidSect="00ED1B01">
      <w:footerReference w:type="even" r:id="rId19"/>
      <w:footerReference w:type="default" r:id="rId20"/>
      <w:pgSz w:w="16838" w:h="11906" w:orient="landscape"/>
      <w:pgMar w:top="1258" w:right="1134" w:bottom="850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ED7" w:rsidRDefault="00330ED7" w:rsidP="00843E31">
      <w:r>
        <w:separator/>
      </w:r>
    </w:p>
  </w:endnote>
  <w:endnote w:type="continuationSeparator" w:id="0">
    <w:p w:rsidR="00330ED7" w:rsidRDefault="00330ED7" w:rsidP="00843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D7" w:rsidRDefault="00330ED7" w:rsidP="00843E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0ED7" w:rsidRDefault="00330ED7" w:rsidP="008657A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ED7" w:rsidRDefault="00330ED7" w:rsidP="00843E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30ED7" w:rsidRDefault="00330ED7" w:rsidP="008657A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ED7" w:rsidRDefault="00330ED7" w:rsidP="00843E31">
      <w:r>
        <w:separator/>
      </w:r>
    </w:p>
  </w:footnote>
  <w:footnote w:type="continuationSeparator" w:id="0">
    <w:p w:rsidR="00330ED7" w:rsidRDefault="00330ED7" w:rsidP="00843E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3D60DC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780CFD64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2"/>
        </w:tabs>
        <w:ind w:left="142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284"/>
        </w:tabs>
        <w:ind w:left="284"/>
      </w:pPr>
      <w:rPr>
        <w:rFonts w:ascii="Garamond" w:hAnsi="Garamond"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0"/>
        </w:tabs>
      </w:pPr>
      <w:rPr>
        <w:rFonts w:cs="Times New Roman" w:hint="default"/>
        <w:i w:val="0"/>
      </w:rPr>
    </w:lvl>
    <w:lvl w:ilvl="4">
      <w:start w:val="1"/>
      <w:numFmt w:val="decimal"/>
      <w:lvlText w:val="%5)"/>
      <w:lvlJc w:val="left"/>
      <w:pPr>
        <w:tabs>
          <w:tab w:val="num" w:pos="1844"/>
        </w:tabs>
        <w:ind w:left="184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">
    <w:nsid w:val="0A190010"/>
    <w:multiLevelType w:val="multilevel"/>
    <w:tmpl w:val="436C02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1080"/>
        </w:tabs>
        <w:ind w:left="1080" w:hanging="1080"/>
      </w:pPr>
      <w:rPr>
        <w:rFonts w:ascii="Courier New" w:hAnsi="Courier New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C7E4231"/>
    <w:multiLevelType w:val="multilevel"/>
    <w:tmpl w:val="0C24FFF8"/>
    <w:lvl w:ilvl="0">
      <w:start w:val="1"/>
      <w:numFmt w:val="none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2"/>
        </w:tabs>
        <w:ind w:left="142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284"/>
        </w:tabs>
        <w:ind w:left="284"/>
      </w:pPr>
      <w:rPr>
        <w:rFonts w:ascii="Garamond" w:hAnsi="Garamond" w:cs="Times New Roman" w:hint="default"/>
      </w:rPr>
    </w:lvl>
    <w:lvl w:ilvl="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4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4">
    <w:nsid w:val="6D523B67"/>
    <w:multiLevelType w:val="singleLevel"/>
    <w:tmpl w:val="CDF4BB94"/>
    <w:lvl w:ilvl="0">
      <w:start w:val="1"/>
      <w:numFmt w:val="bullet"/>
      <w:pStyle w:val="ListBullet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5">
    <w:nsid w:val="729E6117"/>
    <w:multiLevelType w:val="hybridMultilevel"/>
    <w:tmpl w:val="15BE994E"/>
    <w:lvl w:ilvl="0" w:tplc="A374421C">
      <w:start w:val="1"/>
      <w:numFmt w:val="bullet"/>
      <w:lvlText w:val=""/>
      <w:lvlJc w:val="left"/>
      <w:pPr>
        <w:tabs>
          <w:tab w:val="num" w:pos="1038"/>
        </w:tabs>
        <w:ind w:left="103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79297E30"/>
    <w:multiLevelType w:val="hybridMultilevel"/>
    <w:tmpl w:val="A36E2124"/>
    <w:lvl w:ilvl="0" w:tplc="FFFFFFFF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6"/>
  </w:num>
  <w:num w:numId="15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5111"/>
    <w:rsid w:val="00005232"/>
    <w:rsid w:val="00016C58"/>
    <w:rsid w:val="00017C69"/>
    <w:rsid w:val="00024650"/>
    <w:rsid w:val="00033B5F"/>
    <w:rsid w:val="00035406"/>
    <w:rsid w:val="00057975"/>
    <w:rsid w:val="00062CC7"/>
    <w:rsid w:val="00063275"/>
    <w:rsid w:val="00070E60"/>
    <w:rsid w:val="00072021"/>
    <w:rsid w:val="000735F2"/>
    <w:rsid w:val="000751F2"/>
    <w:rsid w:val="00081AE3"/>
    <w:rsid w:val="00094526"/>
    <w:rsid w:val="000A32C6"/>
    <w:rsid w:val="000B0751"/>
    <w:rsid w:val="000B4564"/>
    <w:rsid w:val="000B5C86"/>
    <w:rsid w:val="000D020A"/>
    <w:rsid w:val="000D0843"/>
    <w:rsid w:val="000D2973"/>
    <w:rsid w:val="000D59F4"/>
    <w:rsid w:val="000D6F0A"/>
    <w:rsid w:val="000E4CBA"/>
    <w:rsid w:val="001152B8"/>
    <w:rsid w:val="001155E9"/>
    <w:rsid w:val="00116ECD"/>
    <w:rsid w:val="001203DE"/>
    <w:rsid w:val="0012648A"/>
    <w:rsid w:val="001374FF"/>
    <w:rsid w:val="001476E4"/>
    <w:rsid w:val="00153629"/>
    <w:rsid w:val="00153AE8"/>
    <w:rsid w:val="0015553F"/>
    <w:rsid w:val="001572AE"/>
    <w:rsid w:val="0016440A"/>
    <w:rsid w:val="00171593"/>
    <w:rsid w:val="0017336C"/>
    <w:rsid w:val="00174F8D"/>
    <w:rsid w:val="00193A7D"/>
    <w:rsid w:val="00193F47"/>
    <w:rsid w:val="00195809"/>
    <w:rsid w:val="001B490F"/>
    <w:rsid w:val="001C104B"/>
    <w:rsid w:val="001C6DD2"/>
    <w:rsid w:val="001D6A8B"/>
    <w:rsid w:val="001D7391"/>
    <w:rsid w:val="001E65B3"/>
    <w:rsid w:val="001F128B"/>
    <w:rsid w:val="0020482F"/>
    <w:rsid w:val="002058F8"/>
    <w:rsid w:val="00215714"/>
    <w:rsid w:val="002242E6"/>
    <w:rsid w:val="002249E1"/>
    <w:rsid w:val="002305B4"/>
    <w:rsid w:val="00230EE3"/>
    <w:rsid w:val="00240993"/>
    <w:rsid w:val="00264A07"/>
    <w:rsid w:val="00287DB6"/>
    <w:rsid w:val="00290F1B"/>
    <w:rsid w:val="0029504D"/>
    <w:rsid w:val="002B186C"/>
    <w:rsid w:val="002F27DA"/>
    <w:rsid w:val="002F28EB"/>
    <w:rsid w:val="00303524"/>
    <w:rsid w:val="003124E4"/>
    <w:rsid w:val="00312BD9"/>
    <w:rsid w:val="003152A9"/>
    <w:rsid w:val="0032323F"/>
    <w:rsid w:val="00330ED7"/>
    <w:rsid w:val="00333996"/>
    <w:rsid w:val="00333C0C"/>
    <w:rsid w:val="00357292"/>
    <w:rsid w:val="003817EE"/>
    <w:rsid w:val="00382C7C"/>
    <w:rsid w:val="00387A98"/>
    <w:rsid w:val="003917BF"/>
    <w:rsid w:val="00392A92"/>
    <w:rsid w:val="0039366B"/>
    <w:rsid w:val="003B4607"/>
    <w:rsid w:val="003B68C4"/>
    <w:rsid w:val="003C1780"/>
    <w:rsid w:val="003C2C40"/>
    <w:rsid w:val="003C3128"/>
    <w:rsid w:val="003C3195"/>
    <w:rsid w:val="003D544A"/>
    <w:rsid w:val="003F144B"/>
    <w:rsid w:val="003F79BA"/>
    <w:rsid w:val="003F7EB5"/>
    <w:rsid w:val="00404EEC"/>
    <w:rsid w:val="00405FAF"/>
    <w:rsid w:val="00410FDA"/>
    <w:rsid w:val="0042309C"/>
    <w:rsid w:val="00423ADC"/>
    <w:rsid w:val="00431746"/>
    <w:rsid w:val="00435111"/>
    <w:rsid w:val="0044049C"/>
    <w:rsid w:val="00440B9E"/>
    <w:rsid w:val="00443989"/>
    <w:rsid w:val="00450159"/>
    <w:rsid w:val="004572FA"/>
    <w:rsid w:val="00457A5E"/>
    <w:rsid w:val="0046539D"/>
    <w:rsid w:val="00476701"/>
    <w:rsid w:val="0048086D"/>
    <w:rsid w:val="004846B9"/>
    <w:rsid w:val="00485E8D"/>
    <w:rsid w:val="00490619"/>
    <w:rsid w:val="0049189B"/>
    <w:rsid w:val="00491C39"/>
    <w:rsid w:val="004A5614"/>
    <w:rsid w:val="004B26EB"/>
    <w:rsid w:val="004B34B9"/>
    <w:rsid w:val="004B355B"/>
    <w:rsid w:val="004B41B9"/>
    <w:rsid w:val="004B50EF"/>
    <w:rsid w:val="004C09D2"/>
    <w:rsid w:val="004C285F"/>
    <w:rsid w:val="004D5CEA"/>
    <w:rsid w:val="004E4505"/>
    <w:rsid w:val="004E7093"/>
    <w:rsid w:val="004E73EE"/>
    <w:rsid w:val="004F0388"/>
    <w:rsid w:val="004F2DE5"/>
    <w:rsid w:val="004F6790"/>
    <w:rsid w:val="004F6EF3"/>
    <w:rsid w:val="005075DF"/>
    <w:rsid w:val="00507A2C"/>
    <w:rsid w:val="00510870"/>
    <w:rsid w:val="005117F6"/>
    <w:rsid w:val="00533A83"/>
    <w:rsid w:val="00536A0C"/>
    <w:rsid w:val="00544027"/>
    <w:rsid w:val="00546B80"/>
    <w:rsid w:val="005606FF"/>
    <w:rsid w:val="00563BCC"/>
    <w:rsid w:val="00580D1A"/>
    <w:rsid w:val="00585950"/>
    <w:rsid w:val="005908E3"/>
    <w:rsid w:val="005949D2"/>
    <w:rsid w:val="00596F54"/>
    <w:rsid w:val="005A08F9"/>
    <w:rsid w:val="005A4297"/>
    <w:rsid w:val="005A7361"/>
    <w:rsid w:val="005B3264"/>
    <w:rsid w:val="005C3AA1"/>
    <w:rsid w:val="005C5D3B"/>
    <w:rsid w:val="005C725F"/>
    <w:rsid w:val="005D1949"/>
    <w:rsid w:val="005D491E"/>
    <w:rsid w:val="005E0A57"/>
    <w:rsid w:val="005E38B4"/>
    <w:rsid w:val="006000D5"/>
    <w:rsid w:val="006156CA"/>
    <w:rsid w:val="00630BB6"/>
    <w:rsid w:val="006313DA"/>
    <w:rsid w:val="0063208D"/>
    <w:rsid w:val="00632243"/>
    <w:rsid w:val="00634A7A"/>
    <w:rsid w:val="00640681"/>
    <w:rsid w:val="006427D8"/>
    <w:rsid w:val="00644BD7"/>
    <w:rsid w:val="00647427"/>
    <w:rsid w:val="0066286A"/>
    <w:rsid w:val="00665F3D"/>
    <w:rsid w:val="006726E2"/>
    <w:rsid w:val="00683476"/>
    <w:rsid w:val="006851DB"/>
    <w:rsid w:val="006914C0"/>
    <w:rsid w:val="00693EEA"/>
    <w:rsid w:val="00695C9C"/>
    <w:rsid w:val="006960CF"/>
    <w:rsid w:val="006B2D9B"/>
    <w:rsid w:val="006B705D"/>
    <w:rsid w:val="006D417C"/>
    <w:rsid w:val="006D64E7"/>
    <w:rsid w:val="006E13A5"/>
    <w:rsid w:val="006E5802"/>
    <w:rsid w:val="006F27C9"/>
    <w:rsid w:val="00726237"/>
    <w:rsid w:val="00740DDF"/>
    <w:rsid w:val="00751CAC"/>
    <w:rsid w:val="00753BD9"/>
    <w:rsid w:val="007626A4"/>
    <w:rsid w:val="007722F0"/>
    <w:rsid w:val="00775E68"/>
    <w:rsid w:val="00783A07"/>
    <w:rsid w:val="00784154"/>
    <w:rsid w:val="007857C1"/>
    <w:rsid w:val="00793A1B"/>
    <w:rsid w:val="007A3A6A"/>
    <w:rsid w:val="007A3BA0"/>
    <w:rsid w:val="007A5D91"/>
    <w:rsid w:val="007B16D4"/>
    <w:rsid w:val="007B5857"/>
    <w:rsid w:val="007C02E0"/>
    <w:rsid w:val="007C4380"/>
    <w:rsid w:val="007D6560"/>
    <w:rsid w:val="007E179F"/>
    <w:rsid w:val="007E37B3"/>
    <w:rsid w:val="007F72BA"/>
    <w:rsid w:val="00803AEF"/>
    <w:rsid w:val="00807E5C"/>
    <w:rsid w:val="00811BE4"/>
    <w:rsid w:val="008179DC"/>
    <w:rsid w:val="0082320E"/>
    <w:rsid w:val="00826367"/>
    <w:rsid w:val="00826477"/>
    <w:rsid w:val="0083041D"/>
    <w:rsid w:val="00831F55"/>
    <w:rsid w:val="00843E31"/>
    <w:rsid w:val="00844154"/>
    <w:rsid w:val="00847984"/>
    <w:rsid w:val="00860ED4"/>
    <w:rsid w:val="008657AD"/>
    <w:rsid w:val="00870E3E"/>
    <w:rsid w:val="00880A17"/>
    <w:rsid w:val="008812DA"/>
    <w:rsid w:val="00886024"/>
    <w:rsid w:val="00886A64"/>
    <w:rsid w:val="008B2440"/>
    <w:rsid w:val="008C24F6"/>
    <w:rsid w:val="008C4F83"/>
    <w:rsid w:val="008D0A3B"/>
    <w:rsid w:val="008E53D2"/>
    <w:rsid w:val="008F0B87"/>
    <w:rsid w:val="008F4C46"/>
    <w:rsid w:val="008F783C"/>
    <w:rsid w:val="00915F29"/>
    <w:rsid w:val="00916AFE"/>
    <w:rsid w:val="00922145"/>
    <w:rsid w:val="009247B6"/>
    <w:rsid w:val="00925B54"/>
    <w:rsid w:val="00930CA3"/>
    <w:rsid w:val="00933BDE"/>
    <w:rsid w:val="00941328"/>
    <w:rsid w:val="00942AD2"/>
    <w:rsid w:val="00944E7D"/>
    <w:rsid w:val="00946498"/>
    <w:rsid w:val="009629DA"/>
    <w:rsid w:val="0097018B"/>
    <w:rsid w:val="00983AE1"/>
    <w:rsid w:val="00995E77"/>
    <w:rsid w:val="009B042B"/>
    <w:rsid w:val="009C0B6D"/>
    <w:rsid w:val="009C51DC"/>
    <w:rsid w:val="009C6FDD"/>
    <w:rsid w:val="009F029B"/>
    <w:rsid w:val="009F08BE"/>
    <w:rsid w:val="00A01E91"/>
    <w:rsid w:val="00A06EB5"/>
    <w:rsid w:val="00A14FED"/>
    <w:rsid w:val="00A24E70"/>
    <w:rsid w:val="00A3778A"/>
    <w:rsid w:val="00A42F20"/>
    <w:rsid w:val="00A5118D"/>
    <w:rsid w:val="00A71C49"/>
    <w:rsid w:val="00A7498A"/>
    <w:rsid w:val="00A86DEC"/>
    <w:rsid w:val="00A91D0D"/>
    <w:rsid w:val="00AA6EB3"/>
    <w:rsid w:val="00AC3C20"/>
    <w:rsid w:val="00AC4A6D"/>
    <w:rsid w:val="00AD4C75"/>
    <w:rsid w:val="00AE1D28"/>
    <w:rsid w:val="00AE33C1"/>
    <w:rsid w:val="00AE5A3C"/>
    <w:rsid w:val="00AF6D10"/>
    <w:rsid w:val="00B065B9"/>
    <w:rsid w:val="00B131E0"/>
    <w:rsid w:val="00B22634"/>
    <w:rsid w:val="00B23E02"/>
    <w:rsid w:val="00B24086"/>
    <w:rsid w:val="00B2580A"/>
    <w:rsid w:val="00B36750"/>
    <w:rsid w:val="00B41310"/>
    <w:rsid w:val="00B41B3B"/>
    <w:rsid w:val="00B439D0"/>
    <w:rsid w:val="00B44384"/>
    <w:rsid w:val="00B47835"/>
    <w:rsid w:val="00B64B4C"/>
    <w:rsid w:val="00B7383D"/>
    <w:rsid w:val="00B740A4"/>
    <w:rsid w:val="00B764A0"/>
    <w:rsid w:val="00B91BFD"/>
    <w:rsid w:val="00B926FC"/>
    <w:rsid w:val="00BA516E"/>
    <w:rsid w:val="00BB267C"/>
    <w:rsid w:val="00BC1B40"/>
    <w:rsid w:val="00BC27C0"/>
    <w:rsid w:val="00BC4874"/>
    <w:rsid w:val="00BF7657"/>
    <w:rsid w:val="00C055B6"/>
    <w:rsid w:val="00C10781"/>
    <w:rsid w:val="00C11805"/>
    <w:rsid w:val="00C27F2B"/>
    <w:rsid w:val="00C33B72"/>
    <w:rsid w:val="00C3606F"/>
    <w:rsid w:val="00C552DF"/>
    <w:rsid w:val="00C574FC"/>
    <w:rsid w:val="00C71CE3"/>
    <w:rsid w:val="00C73312"/>
    <w:rsid w:val="00C766E7"/>
    <w:rsid w:val="00C816FD"/>
    <w:rsid w:val="00C82384"/>
    <w:rsid w:val="00C82CA9"/>
    <w:rsid w:val="00C84685"/>
    <w:rsid w:val="00CA5F57"/>
    <w:rsid w:val="00CE09F2"/>
    <w:rsid w:val="00CE6432"/>
    <w:rsid w:val="00CF2695"/>
    <w:rsid w:val="00CF342F"/>
    <w:rsid w:val="00CF51D9"/>
    <w:rsid w:val="00D06DAD"/>
    <w:rsid w:val="00D13487"/>
    <w:rsid w:val="00D151D6"/>
    <w:rsid w:val="00D152B9"/>
    <w:rsid w:val="00D208FE"/>
    <w:rsid w:val="00D22724"/>
    <w:rsid w:val="00D248CF"/>
    <w:rsid w:val="00D31283"/>
    <w:rsid w:val="00D41C63"/>
    <w:rsid w:val="00D471F1"/>
    <w:rsid w:val="00D51849"/>
    <w:rsid w:val="00D535B6"/>
    <w:rsid w:val="00D5628B"/>
    <w:rsid w:val="00D56873"/>
    <w:rsid w:val="00D639A4"/>
    <w:rsid w:val="00D67726"/>
    <w:rsid w:val="00D76E0E"/>
    <w:rsid w:val="00D83D34"/>
    <w:rsid w:val="00D911E0"/>
    <w:rsid w:val="00D9162B"/>
    <w:rsid w:val="00DA2872"/>
    <w:rsid w:val="00DA742B"/>
    <w:rsid w:val="00DC364C"/>
    <w:rsid w:val="00DC3A4C"/>
    <w:rsid w:val="00DC76F5"/>
    <w:rsid w:val="00DD1256"/>
    <w:rsid w:val="00DD3EBD"/>
    <w:rsid w:val="00DE239B"/>
    <w:rsid w:val="00DE7AFD"/>
    <w:rsid w:val="00E0050C"/>
    <w:rsid w:val="00E02DD1"/>
    <w:rsid w:val="00E031FB"/>
    <w:rsid w:val="00E06FB0"/>
    <w:rsid w:val="00E13D14"/>
    <w:rsid w:val="00E40B60"/>
    <w:rsid w:val="00E45AEA"/>
    <w:rsid w:val="00E47A47"/>
    <w:rsid w:val="00E6462D"/>
    <w:rsid w:val="00E64793"/>
    <w:rsid w:val="00E675A8"/>
    <w:rsid w:val="00E873DE"/>
    <w:rsid w:val="00E9441C"/>
    <w:rsid w:val="00E97A60"/>
    <w:rsid w:val="00EA0520"/>
    <w:rsid w:val="00EA1069"/>
    <w:rsid w:val="00EA5FE0"/>
    <w:rsid w:val="00EB290F"/>
    <w:rsid w:val="00EB6AAD"/>
    <w:rsid w:val="00EC1AE5"/>
    <w:rsid w:val="00EC1BFD"/>
    <w:rsid w:val="00EC3D7F"/>
    <w:rsid w:val="00EC50B6"/>
    <w:rsid w:val="00ED11EB"/>
    <w:rsid w:val="00ED18FC"/>
    <w:rsid w:val="00ED1B01"/>
    <w:rsid w:val="00EE0BDD"/>
    <w:rsid w:val="00EF1201"/>
    <w:rsid w:val="00F00150"/>
    <w:rsid w:val="00F215B7"/>
    <w:rsid w:val="00F268EC"/>
    <w:rsid w:val="00F35FFA"/>
    <w:rsid w:val="00F41DAE"/>
    <w:rsid w:val="00F43C45"/>
    <w:rsid w:val="00F46287"/>
    <w:rsid w:val="00F534AE"/>
    <w:rsid w:val="00F556F8"/>
    <w:rsid w:val="00F61F61"/>
    <w:rsid w:val="00F6681A"/>
    <w:rsid w:val="00F7474E"/>
    <w:rsid w:val="00F76440"/>
    <w:rsid w:val="00F800AE"/>
    <w:rsid w:val="00F823C4"/>
    <w:rsid w:val="00F91D20"/>
    <w:rsid w:val="00FA27B2"/>
    <w:rsid w:val="00FB3870"/>
    <w:rsid w:val="00FB5318"/>
    <w:rsid w:val="00FC17E8"/>
    <w:rsid w:val="00FC2F37"/>
    <w:rsid w:val="00FD09B6"/>
    <w:rsid w:val="00FD3ACF"/>
    <w:rsid w:val="00FD5504"/>
    <w:rsid w:val="00FD7331"/>
    <w:rsid w:val="00FE561B"/>
    <w:rsid w:val="00FF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3511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Заголовок параграфа (1.),Section,level2 hdg,111,Section Heading"/>
    <w:basedOn w:val="Normal"/>
    <w:link w:val="Heading1Char"/>
    <w:autoRedefine/>
    <w:uiPriority w:val="99"/>
    <w:qFormat/>
    <w:rsid w:val="004572FA"/>
    <w:pPr>
      <w:keepNext/>
      <w:spacing w:before="240" w:after="240"/>
      <w:jc w:val="center"/>
      <w:outlineLvl w:val="0"/>
    </w:pPr>
    <w:rPr>
      <w:rFonts w:ascii="Garamond" w:hAnsi="Garamond"/>
      <w:b/>
      <w:bCs/>
      <w:caps/>
      <w:color w:val="000000"/>
      <w:kern w:val="28"/>
      <w:sz w:val="22"/>
      <w:szCs w:val="22"/>
      <w:lang w:eastAsia="en-US"/>
    </w:rPr>
  </w:style>
  <w:style w:type="paragraph" w:styleId="Heading2">
    <w:name w:val="heading 2"/>
    <w:aliases w:val="h2,h21,Reset numbering,Заголовок пункта (1.1),5,222"/>
    <w:basedOn w:val="Normal"/>
    <w:next w:val="Normal"/>
    <w:link w:val="Heading2Char"/>
    <w:uiPriority w:val="99"/>
    <w:qFormat/>
    <w:rsid w:val="00BC1B40"/>
    <w:pPr>
      <w:keepNext/>
      <w:tabs>
        <w:tab w:val="num" w:pos="142"/>
      </w:tabs>
      <w:spacing w:before="240" w:after="60"/>
      <w:ind w:left="142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H3,Level 1 - 1,Заголовок подпукта (1.1.1),o"/>
    <w:basedOn w:val="Normal"/>
    <w:next w:val="Normal"/>
    <w:link w:val="Heading3Char"/>
    <w:uiPriority w:val="99"/>
    <w:qFormat/>
    <w:rsid w:val="00435111"/>
    <w:pPr>
      <w:keepNext/>
      <w:tabs>
        <w:tab w:val="num" w:pos="284"/>
      </w:tabs>
      <w:ind w:left="284"/>
      <w:jc w:val="both"/>
      <w:outlineLvl w:val="2"/>
    </w:pPr>
    <w:rPr>
      <w:b/>
      <w:bCs/>
      <w:sz w:val="20"/>
      <w:szCs w:val="20"/>
    </w:rPr>
  </w:style>
  <w:style w:type="paragraph" w:styleId="Heading4">
    <w:name w:val="heading 4"/>
    <w:aliases w:val="Sub-Minor,Level 2 - a,H4,H41"/>
    <w:basedOn w:val="Normal"/>
    <w:next w:val="Normal"/>
    <w:link w:val="Heading4Char"/>
    <w:uiPriority w:val="99"/>
    <w:qFormat/>
    <w:rsid w:val="00870E3E"/>
    <w:pPr>
      <w:keepNext/>
      <w:keepLines/>
      <w:tabs>
        <w:tab w:val="num" w:pos="0"/>
      </w:tabs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aliases w:val="h5,h51,test,Block Label,Level 3 - i,H5,H51,h52"/>
    <w:basedOn w:val="Normal"/>
    <w:link w:val="Heading5Char"/>
    <w:uiPriority w:val="99"/>
    <w:qFormat/>
    <w:rsid w:val="00094526"/>
    <w:pPr>
      <w:tabs>
        <w:tab w:val="num" w:pos="1844"/>
      </w:tabs>
      <w:spacing w:before="120" w:after="120"/>
      <w:ind w:left="1844"/>
      <w:jc w:val="both"/>
      <w:outlineLvl w:val="4"/>
    </w:pPr>
    <w:rPr>
      <w:sz w:val="22"/>
      <w:szCs w:val="20"/>
      <w:lang w:eastAsia="en-US"/>
    </w:rPr>
  </w:style>
  <w:style w:type="paragraph" w:styleId="Heading6">
    <w:name w:val="heading 6"/>
    <w:aliases w:val="Legal Level 1."/>
    <w:basedOn w:val="Normal"/>
    <w:next w:val="Heading5"/>
    <w:link w:val="Heading6Char"/>
    <w:uiPriority w:val="99"/>
    <w:qFormat/>
    <w:rsid w:val="00094526"/>
    <w:pPr>
      <w:tabs>
        <w:tab w:val="num" w:pos="0"/>
      </w:tabs>
      <w:spacing w:before="120" w:after="120"/>
      <w:jc w:val="both"/>
      <w:outlineLvl w:val="5"/>
    </w:pPr>
    <w:rPr>
      <w:sz w:val="22"/>
      <w:szCs w:val="20"/>
      <w:lang w:eastAsia="en-US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094526"/>
    <w:pPr>
      <w:spacing w:before="180" w:after="240"/>
      <w:outlineLvl w:val="6"/>
    </w:pPr>
    <w:rPr>
      <w:rFonts w:ascii="Garamond" w:hAnsi="Garamond"/>
      <w:sz w:val="22"/>
      <w:szCs w:val="20"/>
      <w:lang w:val="en-GB" w:eastAsia="en-U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094526"/>
    <w:pPr>
      <w:spacing w:before="240" w:after="60"/>
      <w:outlineLvl w:val="7"/>
    </w:pPr>
    <w:rPr>
      <w:rFonts w:ascii="Arial" w:hAnsi="Arial"/>
      <w:i/>
      <w:sz w:val="20"/>
      <w:szCs w:val="20"/>
      <w:lang w:val="en-GB" w:eastAsia="en-US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094526"/>
    <w:pPr>
      <w:spacing w:before="240" w:after="60"/>
      <w:outlineLvl w:val="8"/>
    </w:pPr>
    <w:rPr>
      <w:rFonts w:ascii="Arial" w:hAnsi="Arial"/>
      <w:i/>
      <w:sz w:val="18"/>
      <w:szCs w:val="20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level2 hdg Char,111 Char,Section Heading Char"/>
    <w:basedOn w:val="DefaultParagraphFont"/>
    <w:link w:val="Heading1"/>
    <w:uiPriority w:val="99"/>
    <w:locked/>
    <w:rsid w:val="004572FA"/>
    <w:rPr>
      <w:rFonts w:ascii="Garamond" w:hAnsi="Garamond" w:cs="Times New Roman"/>
      <w:b/>
      <w:bCs/>
      <w:caps/>
      <w:color w:val="000000"/>
      <w:kern w:val="28"/>
      <w:lang w:eastAsia="en-US"/>
    </w:rPr>
  </w:style>
  <w:style w:type="character" w:customStyle="1" w:styleId="Heading2Char">
    <w:name w:val="Heading 2 Char"/>
    <w:aliases w:val="h2 Char,h21 Char,Reset numbering Char,Заголовок пункта (1.1) Char,5 Char,222 Char"/>
    <w:basedOn w:val="DefaultParagraphFont"/>
    <w:link w:val="Heading2"/>
    <w:uiPriority w:val="99"/>
    <w:locked/>
    <w:rsid w:val="00BC1B4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H3 Char,Level 1 - 1 Char,Заголовок подпукта (1.1.1) Char,o Char"/>
    <w:basedOn w:val="DefaultParagraphFont"/>
    <w:link w:val="Heading3"/>
    <w:uiPriority w:val="99"/>
    <w:locked/>
    <w:rsid w:val="00435111"/>
    <w:rPr>
      <w:rFonts w:ascii="Times New Roman" w:hAnsi="Times New Roman" w:cs="Times New Roman"/>
      <w:b/>
      <w:bCs/>
      <w:sz w:val="20"/>
      <w:szCs w:val="20"/>
    </w:rPr>
  </w:style>
  <w:style w:type="character" w:customStyle="1" w:styleId="Heading4Char">
    <w:name w:val="Heading 4 Char"/>
    <w:aliases w:val="Sub-Minor Char,Level 2 - a Char,H4 Char,H41 Char"/>
    <w:basedOn w:val="DefaultParagraphFont"/>
    <w:link w:val="Heading4"/>
    <w:uiPriority w:val="99"/>
    <w:locked/>
    <w:rsid w:val="00870E3E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aliases w:val="h5 Char,h51 Char,test Char,Block Label Char,Level 3 - i Char,H5 Char,H51 Char,h52 Char"/>
    <w:basedOn w:val="DefaultParagraphFont"/>
    <w:link w:val="Heading5"/>
    <w:uiPriority w:val="99"/>
    <w:locked/>
    <w:rsid w:val="00094526"/>
    <w:rPr>
      <w:rFonts w:ascii="Times New Roman" w:hAnsi="Times New Roman" w:cs="Times New Roman"/>
      <w:sz w:val="22"/>
      <w:lang w:eastAsia="en-US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9"/>
    <w:locked/>
    <w:rsid w:val="00094526"/>
    <w:rPr>
      <w:rFonts w:ascii="Times New Roman" w:hAnsi="Times New Roman" w:cs="Times New Roman"/>
      <w:sz w:val="22"/>
      <w:lang w:eastAsia="en-US"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9"/>
    <w:locked/>
    <w:rsid w:val="00094526"/>
    <w:rPr>
      <w:rFonts w:ascii="Garamond" w:hAnsi="Garamond" w:cs="Times New Roman"/>
      <w:sz w:val="22"/>
      <w:lang w:val="en-GB" w:eastAsia="en-US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9"/>
    <w:locked/>
    <w:rsid w:val="00094526"/>
    <w:rPr>
      <w:rFonts w:ascii="Arial" w:hAnsi="Arial" w:cs="Times New Roman"/>
      <w:i/>
      <w:lang w:val="en-GB" w:eastAsia="en-US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9"/>
    <w:locked/>
    <w:rsid w:val="00094526"/>
    <w:rPr>
      <w:rFonts w:ascii="Arial" w:hAnsi="Arial" w:cs="Times New Roman"/>
      <w:i/>
      <w:sz w:val="18"/>
      <w:lang w:val="en-GB" w:eastAsia="en-US"/>
    </w:rPr>
  </w:style>
  <w:style w:type="paragraph" w:customStyle="1" w:styleId="a">
    <w:name w:val="Обычный текст"/>
    <w:basedOn w:val="Normal"/>
    <w:link w:val="a0"/>
    <w:uiPriority w:val="99"/>
    <w:rsid w:val="00435111"/>
    <w:pPr>
      <w:ind w:firstLine="425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EB29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05B4"/>
    <w:rPr>
      <w:rFonts w:ascii="Times New Roman" w:hAnsi="Times New Roman" w:cs="Times New Roman"/>
      <w:sz w:val="2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F6681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0">
    <w:name w:val="Обычный текст Знак"/>
    <w:basedOn w:val="DefaultParagraphFont"/>
    <w:link w:val="a"/>
    <w:uiPriority w:val="99"/>
    <w:locked/>
    <w:rsid w:val="0043511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1">
    <w:name w:val="Знак"/>
    <w:basedOn w:val="Normal"/>
    <w:uiPriority w:val="99"/>
    <w:rsid w:val="00944E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odyText">
    <w:name w:val="Body Text"/>
    <w:aliases w:val="body text"/>
    <w:basedOn w:val="Normal"/>
    <w:link w:val="BodyTextChar"/>
    <w:uiPriority w:val="99"/>
    <w:rsid w:val="004572FA"/>
    <w:pPr>
      <w:spacing w:before="120" w:after="120"/>
      <w:jc w:val="both"/>
    </w:pPr>
    <w:rPr>
      <w:sz w:val="22"/>
      <w:szCs w:val="20"/>
      <w:lang w:val="en-GB" w:eastAsia="en-US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4572FA"/>
    <w:rPr>
      <w:rFonts w:ascii="Times New Roman" w:hAnsi="Times New Roman" w:cs="Times New Roman"/>
      <w:sz w:val="22"/>
      <w:lang w:val="en-GB" w:eastAsia="en-US"/>
    </w:rPr>
  </w:style>
  <w:style w:type="paragraph" w:styleId="Caption">
    <w:name w:val="caption"/>
    <w:basedOn w:val="Normal"/>
    <w:uiPriority w:val="99"/>
    <w:qFormat/>
    <w:rsid w:val="00BF7657"/>
    <w:pPr>
      <w:widowControl w:val="0"/>
      <w:jc w:val="center"/>
    </w:pPr>
    <w:rPr>
      <w:szCs w:val="20"/>
    </w:rPr>
  </w:style>
  <w:style w:type="paragraph" w:styleId="BodyText2">
    <w:name w:val="Body Text 2"/>
    <w:basedOn w:val="Normal"/>
    <w:link w:val="BodyText2Char"/>
    <w:uiPriority w:val="99"/>
    <w:rsid w:val="00D248C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305B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D248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305B4"/>
    <w:rPr>
      <w:rFonts w:ascii="Times New Roman" w:hAnsi="Times New Roman" w:cs="Times New Roman"/>
      <w:sz w:val="24"/>
      <w:szCs w:val="24"/>
    </w:rPr>
  </w:style>
  <w:style w:type="paragraph" w:customStyle="1" w:styleId="a2">
    <w:name w:val="Знак Знак Знак Знак"/>
    <w:basedOn w:val="Normal"/>
    <w:uiPriority w:val="99"/>
    <w:rsid w:val="00A42F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">
    <w:name w:val="Основной текст Знак1"/>
    <w:aliases w:val="body text Знак1"/>
    <w:basedOn w:val="DefaultParagraphFont"/>
    <w:uiPriority w:val="99"/>
    <w:rsid w:val="00C055B6"/>
    <w:rPr>
      <w:rFonts w:cs="Times New Roman"/>
      <w:sz w:val="22"/>
      <w:lang w:val="en-GB" w:eastAsia="en-US" w:bidi="ar-SA"/>
    </w:rPr>
  </w:style>
  <w:style w:type="paragraph" w:styleId="Header">
    <w:name w:val="header"/>
    <w:basedOn w:val="Normal"/>
    <w:link w:val="HeaderChar"/>
    <w:uiPriority w:val="99"/>
    <w:rsid w:val="00C11805"/>
    <w:pPr>
      <w:tabs>
        <w:tab w:val="center" w:pos="4320"/>
        <w:tab w:val="right" w:pos="8640"/>
      </w:tabs>
      <w:spacing w:before="180" w:after="60"/>
    </w:pPr>
    <w:rPr>
      <w:rFonts w:ascii="Garamond" w:hAnsi="Garamond"/>
      <w:sz w:val="22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11805"/>
    <w:rPr>
      <w:rFonts w:ascii="Garamond" w:hAnsi="Garamond" w:cs="Times New Roman"/>
      <w:sz w:val="22"/>
      <w:lang w:val="en-GB" w:eastAsia="en-US"/>
    </w:rPr>
  </w:style>
  <w:style w:type="paragraph" w:styleId="Footer">
    <w:name w:val="footer"/>
    <w:basedOn w:val="Normal"/>
    <w:link w:val="FooterChar"/>
    <w:uiPriority w:val="99"/>
    <w:rsid w:val="008657A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305B4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657AD"/>
    <w:rPr>
      <w:rFonts w:cs="Times New Roman"/>
    </w:rPr>
  </w:style>
  <w:style w:type="paragraph" w:styleId="ListBullet3">
    <w:name w:val="List Bullet 3"/>
    <w:basedOn w:val="Normal"/>
    <w:autoRedefine/>
    <w:uiPriority w:val="99"/>
    <w:rsid w:val="00405FAF"/>
    <w:pPr>
      <w:numPr>
        <w:numId w:val="10"/>
      </w:numPr>
      <w:tabs>
        <w:tab w:val="clear" w:pos="1040"/>
        <w:tab w:val="num" w:pos="2913"/>
      </w:tabs>
      <w:spacing w:before="180" w:after="60"/>
      <w:ind w:left="2894"/>
    </w:pPr>
    <w:rPr>
      <w:sz w:val="22"/>
      <w:szCs w:val="20"/>
      <w:lang w:eastAsia="en-US"/>
    </w:rPr>
  </w:style>
  <w:style w:type="paragraph" w:styleId="TOC9">
    <w:name w:val="toc 9"/>
    <w:basedOn w:val="Normal"/>
    <w:next w:val="Normal"/>
    <w:uiPriority w:val="99"/>
    <w:semiHidden/>
    <w:rsid w:val="00870E3E"/>
    <w:pPr>
      <w:ind w:left="1760"/>
    </w:pPr>
    <w:rPr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99"/>
    <w:qFormat/>
    <w:rsid w:val="009701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637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666</Words>
  <Characters>3801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Изменения, связанные с переводом расчетов по договорам купли-продажи  электрической энергии по результатам отбора заявок в объемах, не учтенных в прогнозном балансе  на соответствующий период регулирования, через УКО</dc:title>
  <dc:subject/>
  <dc:creator>shek</dc:creator>
  <cp:keywords/>
  <dc:description/>
  <cp:lastModifiedBy>123</cp:lastModifiedBy>
  <cp:revision>3</cp:revision>
  <cp:lastPrinted>2011-04-07T07:49:00Z</cp:lastPrinted>
  <dcterms:created xsi:type="dcterms:W3CDTF">2011-04-07T08:08:00Z</dcterms:created>
  <dcterms:modified xsi:type="dcterms:W3CDTF">2011-04-07T12:10:00Z</dcterms:modified>
</cp:coreProperties>
</file>